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</w:rPr>
      </w:pPr>
      <w:r>
        <w:rPr>
          <w:rFonts w:eastAsia="黑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1116965</wp:posOffset>
                </wp:positionV>
                <wp:extent cx="5544185" cy="734695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hint="eastAsia" w:ascii="方正小标宋简体" w:eastAsia="方正小标宋简体"/>
                                <w:color w:val="FF0000"/>
                                <w:sz w:val="58"/>
                                <w:szCs w:val="58"/>
                              </w:rPr>
                              <w:t>中山大学政治与公共事务管理学院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9.4pt;margin-top:87.95pt;height:57.85pt;width:436.55pt;mso-position-horizontal-relative:page;mso-position-vertical-relative:page;z-index:251661312;v-text-anchor:middle;mso-width-relative:page;mso-height-relative:page;" filled="f" stroked="f" coordsize="21600,21600" o:gfxdata="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hp4oLZAAAADAEAAA8AAAAAAAAA&#10;AQAgAAAAIgAAAGRycy9kb3ducmV2LnhtbFBLAQIUABQAAAAIAIdO4kBwehQDEAIAAAI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</w:pPr>
                      <w:r>
                        <w:rPr>
                          <w:rFonts w:hint="eastAsia" w:ascii="方正小标宋简体" w:eastAsia="方正小标宋简体"/>
                          <w:color w:val="FF0000"/>
                          <w:sz w:val="58"/>
                          <w:szCs w:val="58"/>
                        </w:rPr>
                        <w:t>中山大学政治与公共事务管理学院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黑体"/>
        </w:rPr>
      </w:pPr>
    </w:p>
    <w:p>
      <w:pPr>
        <w:jc w:val="right"/>
        <w:rPr>
          <w:rFonts w:ascii="仿宋" w:hAnsi="仿宋" w:eastAsia="仿宋"/>
        </w:rPr>
      </w:pPr>
      <w:r>
        <w:rPr>
          <w:rFonts w:hint="eastAsia"/>
          <w:lang w:val="en-US" w:eastAsia="zh-CN"/>
        </w:rPr>
        <w:t>政务</w:t>
      </w:r>
      <w:r>
        <w:rPr>
          <w:rFonts w:hint="eastAsia" w:ascii="仿宋_GB2312" w:hAnsi="仿宋"/>
        </w:rPr>
        <w:t>〔</w:t>
      </w:r>
      <w:r>
        <w:t>2</w:t>
      </w:r>
      <w:r>
        <w:rPr>
          <w:rFonts w:hint="eastAsia"/>
        </w:rPr>
        <w:t>0</w:t>
      </w:r>
      <w:r>
        <w:t>2</w:t>
      </w:r>
      <w:r>
        <w:rPr>
          <w:rFonts w:hint="eastAsia"/>
          <w:lang w:val="en-US" w:eastAsia="zh-CN"/>
        </w:rPr>
        <w:t>3</w:t>
      </w:r>
      <w:r>
        <w:rPr>
          <w:rFonts w:hint="eastAsia" w:ascii="仿宋_GB2312" w:hAnsi="仿宋"/>
        </w:rPr>
        <w:t>〕</w:t>
      </w:r>
      <w:r>
        <w:rPr>
          <w:rFonts w:hint="eastAsia" w:eastAsia="仿宋"/>
          <w:lang w:val="en-US" w:eastAsia="zh-CN"/>
        </w:rPr>
        <w:t>30</w:t>
      </w:r>
      <w:r>
        <w:rPr>
          <w:rFonts w:hint="eastAsia" w:ascii="仿宋_GB2312" w:hAnsi="仿宋"/>
        </w:rPr>
        <w:t>号</w:t>
      </w:r>
    </w:p>
    <w:p>
      <w:pPr>
        <w:rPr>
          <w:rFonts w:eastAsia="黑体"/>
        </w:rPr>
      </w:pPr>
      <w:r>
        <w:rPr>
          <w:rFonts w:hint="eastAsia" w:eastAsia="黑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785.3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Nw+2HXAAAADgEAAA8AAAAA&#10;AAAAAQAgAAAAIgAAAGRycy9kb3ducmV2LnhtbFBLAQIUABQAAAAIAIdO4kBDXtZj3AEAAKEDAAAO&#10;AAAAAAAAAAEAIAAAACY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147.4pt;height:0pt;width:481.9pt;mso-position-horizontal-relative:page;mso-position-vertical-relative:page;z-index:251659264;mso-width-relative:page;mso-height-relative:page;" filled="f" stroked="t" coordsize="21600,21600" o:gfxdata="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ZSMo91gAAAAwBAAAPAAAAAAAA&#10;AAEAIAAAACIAAABkcnMvZG93bnJldi54bWxQSwECFAAUAAAACACHTuJAireaSdsBAAChAwAADgAA&#10;AAAAAAABACAAAAAlAQAAZHJzL2Uyb0RvYy54bWxQSwUGAAAAAAYABgBZAQAAcgUAAAAA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ind w:left="0" w:leftChars="0" w:firstLine="0" w:firstLineChars="0"/>
        <w:jc w:val="center"/>
        <w:rPr>
          <w:rFonts w:ascii="Times New Roman" w:hAnsi="Times New Roman" w:eastAsia="方正小标宋简体"/>
          <w:sz w:val="44"/>
          <w:szCs w:val="44"/>
          <w:highlight w:val="none"/>
        </w:rPr>
      </w:pPr>
      <w:r>
        <w:rPr>
          <w:rFonts w:ascii="Times New Roman" w:hAnsi="Times New Roman" w:eastAsia="方正小标宋简体"/>
          <w:spacing w:val="-11"/>
          <w:sz w:val="44"/>
          <w:szCs w:val="44"/>
          <w:highlight w:val="none"/>
        </w:rPr>
        <w:t>政治与公共事务管理学院关于印发</w:t>
      </w:r>
      <w:r>
        <w:rPr>
          <w:rFonts w:hint="eastAsia" w:ascii="Times New Roman" w:hAnsi="Times New Roman" w:eastAsia="方正小标宋简体"/>
          <w:spacing w:val="-11"/>
          <w:sz w:val="44"/>
          <w:szCs w:val="44"/>
          <w:highlight w:val="none"/>
        </w:rPr>
        <w:t>《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政治与公共事务管理学院本科毕业论文工作管理细</w:t>
      </w:r>
      <w:bookmarkStart w:id="0" w:name="_GoBack"/>
      <w:bookmarkEnd w:id="0"/>
      <w:r>
        <w:rPr>
          <w:rFonts w:hint="default" w:ascii="Times New Roman" w:hAnsi="Times New Roman" w:eastAsia="方正小标宋简体" w:cs="Times New Roman"/>
          <w:sz w:val="44"/>
          <w:szCs w:val="44"/>
        </w:rPr>
        <w:t>则</w:t>
      </w:r>
      <w:r>
        <w:rPr>
          <w:rFonts w:hint="eastAsia" w:ascii="Times New Roman" w:hAnsi="Times New Roman" w:eastAsia="方正小标宋简体"/>
          <w:sz w:val="44"/>
          <w:szCs w:val="44"/>
          <w:highlight w:val="none"/>
        </w:rPr>
        <w:t>》</w:t>
      </w:r>
      <w:r>
        <w:rPr>
          <w:rFonts w:ascii="Times New Roman" w:hAnsi="Times New Roman" w:eastAsia="方正小标宋简体"/>
          <w:sz w:val="44"/>
          <w:szCs w:val="44"/>
          <w:highlight w:val="none"/>
        </w:rPr>
        <w:t>的通知</w:t>
      </w:r>
    </w:p>
    <w:p>
      <w:pPr>
        <w:rPr>
          <w:rFonts w:ascii="Times New Roman" w:hAnsi="Times New Roman" w:eastAsia="仿宋_GB2312"/>
          <w:sz w:val="32"/>
          <w:szCs w:val="32"/>
          <w:highlight w:val="none"/>
        </w:rPr>
      </w:pPr>
    </w:p>
    <w:p>
      <w:pPr>
        <w:ind w:left="0" w:leftChars="0" w:firstLine="0" w:firstLineChars="0"/>
        <w:rPr>
          <w:rFonts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各系、所、中心：</w:t>
      </w:r>
    </w:p>
    <w:p>
      <w:pPr>
        <w:ind w:firstLine="624" w:firstLineChars="200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《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政治与公共事务管理学院本科毕业论文工作管理细则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》经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2023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年第</w:t>
      </w:r>
      <w:r>
        <w:rPr>
          <w:rFonts w:hint="eastAsia" w:cs="Times New Roman"/>
          <w:sz w:val="32"/>
          <w:szCs w:val="32"/>
          <w:highlight w:val="none"/>
          <w:lang w:val="en-US" w:eastAsia="zh-CN"/>
        </w:rPr>
        <w:t>20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次学院党政联席会议审议通过，</w:t>
      </w:r>
      <w:r>
        <w:rPr>
          <w:rFonts w:ascii="Times New Roman" w:hAnsi="Times New Roman" w:eastAsia="仿宋_GB2312"/>
          <w:sz w:val="32"/>
          <w:szCs w:val="32"/>
          <w:highlight w:val="none"/>
        </w:rPr>
        <w:t>现予印发，请遵照执行。</w:t>
      </w:r>
    </w:p>
    <w:p>
      <w:pPr>
        <w:rPr>
          <w:rFonts w:ascii="Times New Roman" w:hAnsi="Times New Roman" w:eastAsia="仿宋_GB2312"/>
          <w:sz w:val="32"/>
          <w:szCs w:val="32"/>
          <w:highlight w:val="none"/>
        </w:rPr>
      </w:pPr>
    </w:p>
    <w:p>
      <w:pPr>
        <w:rPr>
          <w:rFonts w:ascii="Times New Roman" w:hAnsi="Times New Roman" w:eastAsia="仿宋_GB2312"/>
          <w:sz w:val="32"/>
          <w:szCs w:val="32"/>
          <w:highlight w:val="none"/>
        </w:rPr>
      </w:pPr>
    </w:p>
    <w:p>
      <w:pPr>
        <w:ind w:firstLine="3744" w:firstLineChars="1200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中山大学政治与公共事务管理学院</w:t>
      </w:r>
    </w:p>
    <w:p>
      <w:pPr>
        <w:wordWrap w:val="0"/>
        <w:ind w:firstLine="3588" w:firstLineChars="1150"/>
        <w:jc w:val="right"/>
        <w:rPr>
          <w:rFonts w:hint="default" w:ascii="Times New Roman" w:hAnsi="Times New Roman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/>
          <w:sz w:val="32"/>
          <w:szCs w:val="32"/>
          <w:highlight w:val="none"/>
          <w:lang w:val="en-US" w:eastAsia="zh-CN"/>
        </w:rPr>
        <w:t>2023</w:t>
      </w:r>
      <w:r>
        <w:rPr>
          <w:rFonts w:ascii="Times New Roman" w:hAnsi="Times New Roman" w:eastAsia="仿宋_GB2312"/>
          <w:sz w:val="32"/>
          <w:szCs w:val="32"/>
          <w:highlight w:val="none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12</w:t>
      </w:r>
      <w:r>
        <w:rPr>
          <w:rFonts w:ascii="Times New Roman" w:hAnsi="Times New Roman" w:eastAsia="仿宋_GB2312"/>
          <w:sz w:val="32"/>
          <w:szCs w:val="32"/>
          <w:highlight w:val="none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12</w:t>
      </w:r>
      <w:r>
        <w:rPr>
          <w:rFonts w:ascii="Times New Roman" w:hAnsi="Times New Roman" w:eastAsia="仿宋_GB2312"/>
          <w:sz w:val="32"/>
          <w:szCs w:val="32"/>
          <w:highlight w:val="none"/>
        </w:rPr>
        <w:t>日</w:t>
      </w:r>
      <w:r>
        <w:rPr>
          <w:rFonts w:hint="eastAsia" w:ascii="Times New Roman" w:hAnsi="Times New Roman"/>
          <w:sz w:val="32"/>
          <w:szCs w:val="32"/>
          <w:highlight w:val="none"/>
          <w:lang w:val="en-US" w:eastAsia="zh-CN"/>
        </w:rPr>
        <w:t xml:space="preserve">    </w:t>
      </w:r>
    </w:p>
    <w:p>
      <w:pPr>
        <w:wordWrap/>
        <w:ind w:firstLine="3588" w:firstLineChars="1150"/>
        <w:jc w:val="right"/>
        <w:rPr>
          <w:rFonts w:hint="default" w:ascii="Times New Roman" w:hAnsi="Times New Roman" w:eastAsia="仿宋_GB2312"/>
          <w:sz w:val="32"/>
          <w:szCs w:val="32"/>
          <w:highlight w:val="none"/>
          <w:lang w:val="en-US" w:eastAsia="zh-CN"/>
        </w:rPr>
      </w:pPr>
    </w:p>
    <w:p>
      <w:pPr>
        <w:spacing w:line="560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br w:type="page"/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政治与公共事务管理学院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本科毕业论文工作</w:t>
      </w:r>
    </w:p>
    <w:p>
      <w:pPr>
        <w:spacing w:line="560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管理细则</w:t>
      </w:r>
    </w:p>
    <w:p>
      <w:pPr>
        <w:pStyle w:val="2"/>
        <w:spacing w:before="0" w:beforeLines="0" w:after="0" w:afterLines="0"/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numPr>
          <w:ilvl w:val="255"/>
          <w:numId w:val="0"/>
        </w:numPr>
        <w:ind w:firstLine="624" w:firstLineChars="200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第一条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为进一步规范我院本科毕业论文工作，确保毕业论文质量，根据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我院相关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专业教学质量国家标准及《中山大学本科教学管理规定》</w:t>
      </w:r>
      <w:r>
        <w:rPr>
          <w:rFonts w:hint="default" w:ascii="Times New Roman" w:hAnsi="Times New Roman" w:cs="Times New Roman"/>
          <w:color w:val="auto"/>
          <w:highlight w:val="none"/>
        </w:rPr>
        <w:t>文件要求，结合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学院实际情况，</w:t>
      </w:r>
      <w:r>
        <w:rPr>
          <w:rFonts w:hint="eastAsia" w:ascii="Times New Roman" w:hAnsi="Times New Roman" w:cs="Times New Roman"/>
          <w:color w:val="auto"/>
          <w:szCs w:val="32"/>
          <w:highlight w:val="none"/>
          <w:lang w:val="en-US" w:eastAsia="zh-CN"/>
        </w:rPr>
        <w:t>修订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本细则。</w:t>
      </w:r>
    </w:p>
    <w:p>
      <w:pPr>
        <w:numPr>
          <w:ilvl w:val="255"/>
          <w:numId w:val="0"/>
        </w:numPr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color w:val="auto"/>
          <w:highlight w:val="none"/>
        </w:rPr>
        <w:t>第</w:t>
      </w:r>
      <w:r>
        <w:rPr>
          <w:rFonts w:hint="default" w:ascii="Times New Roman" w:hAnsi="Times New Roman" w:cs="Times New Roman"/>
          <w:b/>
          <w:bCs/>
          <w:color w:val="auto"/>
          <w:highlight w:val="none"/>
          <w:lang w:val="en-US" w:eastAsia="zh-CN"/>
        </w:rPr>
        <w:t>二</w:t>
      </w:r>
      <w:r>
        <w:rPr>
          <w:rFonts w:hint="default" w:ascii="Times New Roman" w:hAnsi="Times New Roman" w:cs="Times New Roman"/>
          <w:b/>
          <w:bCs/>
          <w:color w:val="auto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毕业论文工作实行院、系两级管理。学院负责制定毕业论文工作管理细则、对学院毕业论文工作进行统筹与监督；各系应根据本细则，组织好师生，落实工作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624" w:firstLineChars="200"/>
        <w:textAlignment w:val="auto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第三条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毕业论文工作一般安排在本科阶段最后一学年，各项工作时间安排大致如下：</w:t>
      </w:r>
    </w:p>
    <w:p>
      <w:pPr>
        <w:numPr>
          <w:ilvl w:val="0"/>
          <w:numId w:val="0"/>
        </w:numPr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（一）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第7学期11月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上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旬，完成指导教师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以下简称“导师”）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安排。</w:t>
      </w:r>
    </w:p>
    <w:p>
      <w:pPr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</w:rPr>
        <w:t>（二）第7学期1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下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旬，确定论文选题。</w:t>
      </w:r>
    </w:p>
    <w:p>
      <w:pPr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</w:rPr>
        <w:t>（三）第7学期1月上旬，完成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开题报告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。学生在导师的指导下，就所选题目进行文献调研，撰写文献综述，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完成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开题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报告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。</w:t>
      </w:r>
    </w:p>
    <w:p>
      <w:pPr>
        <w:ind w:firstLine="64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四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第8学期3月初，完成中期检查。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学生在导师的指导下开展毕业论文课题研究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导师对学生的课题研究过程和论文报告撰写进行指导和检查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。</w:t>
      </w:r>
    </w:p>
    <w:p>
      <w:pPr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</w:rPr>
        <w:t>（四）第8学期4月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中旬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，完成论文撰写。学生应根据导师提出的意见，修改和完善毕业论文。</w:t>
      </w:r>
    </w:p>
    <w:p>
      <w:pPr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</w:rPr>
        <w:t>（五）第8学期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4月下旬，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学生完成毕业论文撰写，提交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val="en-US" w:eastAsia="zh-CN"/>
        </w:rPr>
        <w:t>导师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评阅和审核答辩资格；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学院组织开展论文查重及答辩资格审核。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5月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初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，学院组织具备答辩资格的学生进行答辩。</w:t>
      </w:r>
    </w:p>
    <w:p>
      <w:pPr>
        <w:ind w:firstLine="64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六）第8学期5月中旬，完成毕业论文（最终版）审核；5月下旬，完成论文及相关资料归档。</w:t>
      </w:r>
    </w:p>
    <w:p>
      <w:pPr>
        <w:ind w:firstLine="643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四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每位导师所指导的学生，原则上不超过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人，导师是毕业论文的第一责任人。</w:t>
      </w:r>
    </w:p>
    <w:p>
      <w:pPr>
        <w:numPr>
          <w:ilvl w:val="255"/>
          <w:numId w:val="0"/>
        </w:numPr>
        <w:ind w:firstLine="640"/>
        <w:rPr>
          <w:rFonts w:hint="default" w:ascii="Times New Roman" w:hAnsi="Times New Roman" w:cs="Times New Roman"/>
          <w:bCs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  <w:lang w:val="en-US" w:eastAsia="zh-CN"/>
        </w:rPr>
        <w:t>五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选题方向应与本专业一致，一人一题，鼓励选题来源于导师科研项目，在实验、实习或社会调查等实践中完成毕业论文。选题不能为综述类课题，不能与近2届学生的毕业论文题目相同。选题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经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导师、学院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/>
        </w:rPr>
        <w:t>主管教学领导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审批后实施，</w:t>
      </w:r>
      <w:r>
        <w:rPr>
          <w:rFonts w:hint="default" w:ascii="Times New Roman" w:hAnsi="Times New Roman" w:cs="Times New Roman"/>
          <w:bCs/>
          <w:color w:val="auto"/>
          <w:szCs w:val="32"/>
          <w:highlight w:val="none"/>
        </w:rPr>
        <w:t>一经确定不可随意更改。确有变更必要的，由学生在毕设系统提出申请，经导师审核同意后提交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学院</w:t>
      </w:r>
      <w:r>
        <w:rPr>
          <w:rFonts w:hint="default" w:ascii="Times New Roman" w:hAnsi="Times New Roman" w:cs="Times New Roman"/>
          <w:bCs/>
          <w:color w:val="auto"/>
          <w:szCs w:val="32"/>
          <w:highlight w:val="none"/>
        </w:rPr>
        <w:t>审核。</w:t>
      </w:r>
    </w:p>
    <w:p>
      <w:pPr>
        <w:numPr>
          <w:ilvl w:val="255"/>
          <w:numId w:val="0"/>
        </w:numPr>
        <w:ind w:firstLine="643"/>
        <w:rPr>
          <w:rFonts w:hint="default" w:ascii="Times New Roman" w:hAnsi="Times New Roman" w:cs="Times New Roman"/>
          <w:bCs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  <w:lang w:val="en-US" w:eastAsia="zh-CN"/>
        </w:rPr>
        <w:t>六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 xml:space="preserve">条 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开题报告主要对毕业论文的研究背景、选题依据、选题的目的与意义、研究思路、研究内容、研究方法和技术路线、研究进度安排等内容进行论证。开题报告应包含文献综述部分。</w:t>
      </w:r>
      <w:r>
        <w:rPr>
          <w:rFonts w:hint="default" w:ascii="Times New Roman" w:hAnsi="Times New Roman" w:cs="Times New Roman"/>
          <w:color w:val="auto"/>
          <w:highlight w:val="none"/>
        </w:rPr>
        <w:t>开题报告经导师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、学院主管教学领导、学院党委审核通过后</w:t>
      </w:r>
      <w:r>
        <w:rPr>
          <w:rFonts w:hint="default" w:ascii="Times New Roman" w:hAnsi="Times New Roman" w:cs="Times New Roman"/>
          <w:color w:val="auto"/>
          <w:highlight w:val="none"/>
        </w:rPr>
        <w:t>，方可进入实施阶段。已审批通过的开题报告需修改的，应重新履行审批程序。</w:t>
      </w:r>
    </w:p>
    <w:p>
      <w:pPr>
        <w:numPr>
          <w:ilvl w:val="255"/>
          <w:numId w:val="0"/>
        </w:numPr>
        <w:ind w:firstLine="624" w:firstLineChars="20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七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学生应按开题计划推进论文研究，主动联系导师汇报进展和存在问题。开题后至评阅前，导师对学生的指导应不少于3次。</w:t>
      </w:r>
    </w:p>
    <w:p>
      <w:pPr>
        <w:numPr>
          <w:ilvl w:val="255"/>
          <w:numId w:val="0"/>
        </w:numPr>
        <w:ind w:firstLine="624" w:firstLineChars="200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八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 xml:space="preserve">条 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学院组织导师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对毕业论文进行中期检查。</w:t>
      </w:r>
    </w:p>
    <w:p>
      <w:pPr>
        <w:numPr>
          <w:ilvl w:val="255"/>
          <w:numId w:val="0"/>
        </w:numPr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  <w:lang w:val="en-US" w:eastAsia="zh-CN"/>
        </w:rPr>
        <w:t>九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毕业论文应论点突出，论据充分，论证严密，数据翔实，结论合理，层次分明，图表清晰，格式规范，文字通顺，需要包含实验数据、问卷调研、社会调研或文献调研等实质性工作内容。论文正文部分一般不少于8000 字，格式参照《中山大学本科毕业论文（设计）写作与印制规范》执行。</w:t>
      </w:r>
    </w:p>
    <w:p>
      <w:pPr>
        <w:ind w:firstLine="643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  <w:lang w:val="en-US" w:eastAsia="zh-CN"/>
        </w:rPr>
        <w:t>十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毕业论文在答辩前必须通过重合率检测。查重率高于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20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%</w:t>
      </w:r>
      <w:r>
        <w:rPr>
          <w:rFonts w:hint="eastAsia" w:ascii="Times New Roman" w:hAnsi="Times New Roman" w:cs="Times New Roman"/>
          <w:color w:val="auto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Cs w:val="32"/>
          <w:highlight w:val="none"/>
          <w:lang w:val="en-US" w:eastAsia="zh-CN"/>
        </w:rPr>
        <w:t>含20%</w:t>
      </w:r>
      <w:r>
        <w:rPr>
          <w:rFonts w:hint="eastAsia" w:ascii="Times New Roman" w:hAnsi="Times New Roman" w:cs="Times New Roman"/>
          <w:color w:val="auto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的，学生应在导师指导下修改论文重新提交、检测；再次查重超过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20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%的，应重新开展论文相关工作，延期答辩。论文重合率低于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20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%后，可进行答辩资格审核。</w:t>
      </w:r>
    </w:p>
    <w:p>
      <w:pPr>
        <w:numPr>
          <w:ilvl w:val="255"/>
          <w:numId w:val="0"/>
        </w:numPr>
        <w:ind w:firstLine="624" w:firstLineChars="200"/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第十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一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毕业论文经导师、</w:t>
      </w:r>
      <w:r>
        <w:rPr>
          <w:rFonts w:hint="eastAsia" w:ascii="Times New Roman" w:hAnsi="Times New Roman" w:cs="Times New Roman"/>
          <w:color w:val="auto"/>
          <w:kern w:val="0"/>
          <w:szCs w:val="32"/>
          <w:highlight w:val="none"/>
          <w:lang w:val="en-US" w:eastAsia="zh-CN"/>
        </w:rPr>
        <w:t>学院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分管教学领导及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val="en-US" w:eastAsia="zh-CN"/>
        </w:rPr>
        <w:t>学院党委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审核通过后，方可进入答辩。具体评阅标准如下：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5676"/>
        <w:gridCol w:w="24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highlight w:val="none"/>
              </w:rPr>
              <w:t>序号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highlight w:val="none"/>
              </w:rPr>
              <w:t>评分点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highlight w:val="none"/>
              </w:rPr>
              <w:t>权重/%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论文选题情况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文献利用分析情况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论文难度及工作量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4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论文的创新性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理论知识基础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6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科研能力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7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论文写作水平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8</w:t>
            </w:r>
          </w:p>
        </w:tc>
        <w:tc>
          <w:tcPr>
            <w:tcW w:w="5676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论文规范情况</w:t>
            </w:r>
          </w:p>
        </w:tc>
        <w:tc>
          <w:tcPr>
            <w:tcW w:w="2403" w:type="dxa"/>
          </w:tcPr>
          <w:p>
            <w:pPr>
              <w:numPr>
                <w:ilvl w:val="255"/>
                <w:numId w:val="0"/>
              </w:num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8"/>
                <w:szCs w:val="28"/>
                <w:highlight w:val="none"/>
              </w:rPr>
              <w:t>10</w:t>
            </w:r>
          </w:p>
        </w:tc>
      </w:tr>
    </w:tbl>
    <w:p>
      <w:pPr>
        <w:spacing w:line="560" w:lineRule="exact"/>
        <w:ind w:firstLine="640"/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</w:rPr>
      </w:pPr>
    </w:p>
    <w:p>
      <w:pPr>
        <w:spacing w:line="560" w:lineRule="exact"/>
        <w:ind w:firstLine="640"/>
        <w:rPr>
          <w:rFonts w:hint="default" w:ascii="Times New Roman" w:hAnsi="Times New Roman" w:eastAsia="仿宋_GB2312" w:cs="Times New Roman"/>
          <w:snapToGrid w:val="0"/>
          <w:color w:val="auto"/>
          <w:kern w:val="0"/>
          <w:szCs w:val="32"/>
          <w:highlight w:val="none"/>
          <w:lang w:val="en-US"/>
        </w:rPr>
      </w:pP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/>
        </w:rPr>
        <w:t>学院主管教学领导定期对全院毕业论文工作进行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 w:eastAsia="zh-CN"/>
        </w:rPr>
        <w:t>抽检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</w:rPr>
        <w:t>，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 w:eastAsia="zh-CN"/>
        </w:rPr>
        <w:t>抽检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/>
        </w:rPr>
        <w:t>结果向各系及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 w:eastAsia="zh-CN"/>
        </w:rPr>
        <w:t>导师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/>
        </w:rPr>
        <w:t>反馈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</w:rPr>
        <w:t>。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/>
        </w:rPr>
        <w:t>对毕业论文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 w:eastAsia="zh-CN"/>
        </w:rPr>
        <w:t>抽检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/>
        </w:rPr>
        <w:t>不合格者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</w:rPr>
        <w:t>，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/>
        </w:rPr>
        <w:t>学院将根据实际情况作出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 w:eastAsia="zh-CN"/>
        </w:rPr>
        <w:t>责令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/>
        </w:rPr>
        <w:t>修改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 w:eastAsia="zh-CN"/>
        </w:rPr>
        <w:t>论文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</w:rPr>
        <w:t>、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  <w:lang w:val="en-US"/>
        </w:rPr>
        <w:t>延迟答辩等处理</w:t>
      </w:r>
      <w:r>
        <w:rPr>
          <w:rFonts w:hint="default" w:ascii="Times New Roman" w:hAnsi="Times New Roman" w:cs="Times New Roman"/>
          <w:snapToGrid w:val="0"/>
          <w:color w:val="auto"/>
          <w:kern w:val="0"/>
          <w:szCs w:val="32"/>
          <w:highlight w:val="none"/>
        </w:rPr>
        <w:t>。</w:t>
      </w:r>
    </w:p>
    <w:p>
      <w:pPr>
        <w:ind w:firstLine="643"/>
        <w:rPr>
          <w:rFonts w:hint="default" w:ascii="Times New Roman" w:hAnsi="Times New Roman" w:cs="Times New Roman"/>
          <w:b/>
          <w:bCs/>
          <w:color w:val="auto"/>
          <w:kern w:val="0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第十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二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答辩以公开方式进行。答辩委员会成员应具有毕业论文指导资格，人数不少于3人。导师不能担任所指导学生的答辩委员。</w:t>
      </w:r>
      <w:r>
        <w:rPr>
          <w:rFonts w:hint="default" w:ascii="Times New Roman" w:hAnsi="Times New Roman" w:cs="Times New Roman"/>
          <w:color w:val="auto"/>
          <w:highlight w:val="none"/>
        </w:rPr>
        <w:t>每名学生答辩时间一般控制在10-15分钟，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答辩过程和评价意见须有书面记录，并由答辩委员会全体成员签名确认。毕业论文应提前送至答辩委员处，保证答辩委员有充足的时间审阅论文。</w:t>
      </w:r>
    </w:p>
    <w:p>
      <w:pPr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kern w:val="0"/>
          <w:szCs w:val="32"/>
          <w:highlight w:val="none"/>
        </w:rPr>
        <w:t>第十</w:t>
      </w:r>
      <w:r>
        <w:rPr>
          <w:rFonts w:hint="default" w:ascii="Times New Roman" w:hAnsi="Times New Roman" w:cs="Times New Roman"/>
          <w:b/>
          <w:bCs/>
          <w:color w:val="auto"/>
          <w:kern w:val="0"/>
          <w:szCs w:val="32"/>
          <w:highlight w:val="none"/>
          <w:lang w:val="en-US" w:eastAsia="zh-CN"/>
        </w:rPr>
        <w:t>三</w:t>
      </w:r>
      <w:r>
        <w:rPr>
          <w:rFonts w:hint="default" w:ascii="Times New Roman" w:hAnsi="Times New Roman" w:cs="Times New Roman"/>
          <w:b/>
          <w:bCs/>
          <w:color w:val="auto"/>
          <w:kern w:val="0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 xml:space="preserve"> 答辩成绩采用百分制。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对答辩委员会全体成员的打分取平均值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 w:eastAsia="zh-CN"/>
        </w:rPr>
        <w:t>四舍五入取整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作为学生的答辩成绩。答辩成绩评定标准具体如下：</w:t>
      </w:r>
    </w:p>
    <w:p>
      <w:pPr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6432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63" w:type="dxa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highlight w:val="none"/>
              </w:rPr>
              <w:t>序号</w:t>
            </w:r>
          </w:p>
        </w:tc>
        <w:tc>
          <w:tcPr>
            <w:tcW w:w="6432" w:type="dxa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highlight w:val="none"/>
              </w:rPr>
              <w:t>答辩考核点</w:t>
            </w:r>
          </w:p>
        </w:tc>
        <w:tc>
          <w:tcPr>
            <w:tcW w:w="1551" w:type="dxa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highlight w:val="none"/>
              </w:rPr>
              <w:t>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6432" w:type="dxa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学生论文内容情况（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  <w:lang w:val="en-US"/>
              </w:rPr>
              <w:t>问题意识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、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  <w:lang w:val="en-US"/>
              </w:rPr>
              <w:t>文献综述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、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  <w:lang w:val="en-US"/>
              </w:rPr>
              <w:t>研究方法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、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  <w:lang w:val="en-US"/>
              </w:rPr>
              <w:t>数据分析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、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  <w:lang w:val="en-US"/>
              </w:rPr>
              <w:t>行文写作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等）</w:t>
            </w:r>
          </w:p>
        </w:tc>
        <w:tc>
          <w:tcPr>
            <w:tcW w:w="155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50%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6432" w:type="dxa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学生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  <w:lang w:val="en-US"/>
              </w:rPr>
              <w:t>阐述论文内容与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回答评委提问的情况</w:t>
            </w:r>
          </w:p>
        </w:tc>
        <w:tc>
          <w:tcPr>
            <w:tcW w:w="155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40%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6432" w:type="dxa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学生现场表现情况（包括表达是否流畅、态度是否端正、着装是否得体等）</w:t>
            </w:r>
          </w:p>
        </w:tc>
        <w:tc>
          <w:tcPr>
            <w:tcW w:w="155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highlight w:val="none"/>
              </w:rPr>
              <w:t>10%</w:t>
            </w:r>
          </w:p>
        </w:tc>
      </w:tr>
    </w:tbl>
    <w:p>
      <w:pPr>
        <w:ind w:firstLine="643"/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</w:pPr>
    </w:p>
    <w:p>
      <w:pPr>
        <w:ind w:firstLine="643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第十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四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</w:rPr>
        <w:t>总评成绩由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指导老师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</w:rPr>
        <w:t>评阅成绩（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40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</w:rPr>
        <w:t>%）和答辩成绩（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60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</w:rPr>
        <w:t>%）两部分组成。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未获得答辩资格或答辩成绩不及格（低于60分）者，毕业论文成绩一律以不及格计。</w:t>
      </w:r>
    </w:p>
    <w:p>
      <w:pPr>
        <w:ind w:firstLine="643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第十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五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毕业论文采用优秀、良好、中等、及格、不及格等五级记分法。其中优秀即100-90分，良好即89-80分，中等即79-70分，及格即69-60分，不及格即59分及以下。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/>
        </w:rPr>
        <w:t>毕业论文最终版由导师审核后存档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。</w:t>
      </w:r>
    </w:p>
    <w:p>
      <w:pPr>
        <w:ind w:firstLine="640"/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第十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六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 xml:space="preserve">条 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eastAsia="zh-CN"/>
        </w:rPr>
        <w:t>学院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</w:rPr>
        <w:t>从成绩评定为“优秀”的论文里，根据毕业论文总评成绩排序推荐校级优秀毕业论文；如遇总评成绩相同的情况，则按答辩成绩从高到低排序推荐。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学院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根据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</w:rPr>
        <w:t>当届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各专业学生比例分配各个专业的校级优秀毕业论文推荐名额。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</w:rPr>
        <w:t>如本专业满足推荐要求的人数少于分配给该专业的推荐名额数，则其剩余名额由学院统筹再分配。拟推荐名单在本单位内进行公示，公示期不少于5日。</w:t>
      </w:r>
    </w:p>
    <w:p>
      <w:pPr>
        <w:ind w:firstLine="640"/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第十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/>
        </w:rPr>
        <w:t>七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学院设立院级优秀毕业论文，</w:t>
      </w:r>
      <w:r>
        <w:rPr>
          <w:rFonts w:hint="eastAsia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评选方式与校级优秀毕业论文一致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。获校级优秀毕业论文的，不再</w:t>
      </w:r>
      <w:r>
        <w:rPr>
          <w:rFonts w:hint="eastAsia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评为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院级优秀毕业论文。校</w:t>
      </w:r>
      <w:r>
        <w:rPr>
          <w:rFonts w:hint="eastAsia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院两</w:t>
      </w:r>
      <w:r>
        <w:rPr>
          <w:rFonts w:hint="default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级优秀毕业论文</w:t>
      </w:r>
      <w:r>
        <w:rPr>
          <w:rFonts w:hint="eastAsia" w:ascii="Times New Roman" w:hAnsi="Times New Roman" w:cs="Times New Roman"/>
          <w:bCs/>
          <w:color w:val="auto"/>
          <w:kern w:val="0"/>
          <w:szCs w:val="32"/>
          <w:highlight w:val="none"/>
          <w:lang w:val="en-US" w:eastAsia="zh-CN"/>
        </w:rPr>
        <w:t>获评人数比例不超过当届学生的8%。</w:t>
      </w:r>
    </w:p>
    <w:p>
      <w:pPr>
        <w:pStyle w:val="3"/>
        <w:ind w:firstLine="643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  <w:lang w:val="en-US" w:eastAsia="zh-CN"/>
        </w:rPr>
        <w:t>十八</w:t>
      </w:r>
      <w:r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  <w:t xml:space="preserve">条 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学院加强对毕业论文的审核，严防严控意识形态风险，防范学术不端行为，强化论文质量建设：</w:t>
      </w:r>
    </w:p>
    <w:p>
      <w:pPr>
        <w:numPr>
          <w:ilvl w:val="0"/>
          <w:numId w:val="1"/>
        </w:numPr>
        <w:spacing w:line="560" w:lineRule="exact"/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</w:rPr>
        <w:t>根据实际情况梳理毕业论文工作流程及风险点，制定相应防控措施，督促工作落实，做好工作记录。</w:t>
      </w:r>
    </w:p>
    <w:p>
      <w:pPr>
        <w:numPr>
          <w:ilvl w:val="0"/>
          <w:numId w:val="1"/>
        </w:numPr>
        <w:spacing w:line="560" w:lineRule="exact"/>
        <w:ind w:firstLine="640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</w:rPr>
        <w:t>组织院级督导员现场考察毕业论文答辩过程，对答辩会组织情况、学生论文质量、答辩情况、评委提问质量等方面进行全面监督和评估</w:t>
      </w:r>
      <w:r>
        <w:rPr>
          <w:rFonts w:hint="default" w:ascii="Times New Roman" w:hAnsi="Times New Roman" w:cs="Times New Roman"/>
          <w:bCs/>
          <w:color w:val="auto"/>
          <w:szCs w:val="32"/>
          <w:highlight w:val="none"/>
        </w:rPr>
        <w:t>。</w:t>
      </w:r>
    </w:p>
    <w:p>
      <w:pPr>
        <w:ind w:firstLine="640"/>
        <w:rPr>
          <w:rFonts w:hint="default" w:ascii="Times New Roman" w:hAnsi="Times New Roman" w:cs="Times New Roman"/>
          <w:b/>
          <w:bCs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Cs w:val="32"/>
          <w:highlight w:val="none"/>
        </w:rPr>
        <w:t>（三）定期听取关于论文选题、开题、中期检查、论文检测、评阅及答辩情况的汇报。涉及毕业论文工作重要事项，按学院有关规定提交学院党委会、党政联席会议研究审议。</w:t>
      </w:r>
    </w:p>
    <w:p>
      <w:pPr>
        <w:widowControl/>
        <w:ind w:firstLine="643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第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  <w:lang w:val="en-US" w:eastAsia="zh-CN"/>
        </w:rPr>
        <w:t>十九</w:t>
      </w:r>
      <w:r>
        <w:rPr>
          <w:rFonts w:hint="default" w:ascii="Times New Roman" w:hAnsi="Times New Roman" w:cs="Times New Roman"/>
          <w:b/>
          <w:color w:val="auto"/>
          <w:szCs w:val="32"/>
          <w:highlight w:val="none"/>
        </w:rPr>
        <w:t>条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 xml:space="preserve"> 本细则经2023年第</w:t>
      </w:r>
      <w:r>
        <w:rPr>
          <w:rFonts w:hint="eastAsia" w:ascii="Times New Roman" w:hAnsi="Times New Roman" w:cs="Times New Roman"/>
          <w:color w:val="auto"/>
          <w:szCs w:val="32"/>
          <w:highlight w:val="none"/>
          <w:lang w:val="en-US" w:eastAsia="zh-CN"/>
        </w:rPr>
        <w:t>20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次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eastAsia="zh-CN"/>
        </w:rPr>
        <w:t>学院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党政联席会审议通过，自公布之日起开始执行，由</w:t>
      </w:r>
      <w:r>
        <w:rPr>
          <w:rFonts w:hint="default" w:ascii="Times New Roman" w:hAnsi="Times New Roman" w:cs="Times New Roman"/>
          <w:color w:val="auto"/>
          <w:szCs w:val="32"/>
          <w:highlight w:val="none"/>
          <w:lang w:val="en-US"/>
        </w:rPr>
        <w:t>政治与公共事务管理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学院负责解释。原《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政治与公共事务管理学院本科生毕业论文（设计）工作管理细则</w:t>
      </w:r>
      <w:r>
        <w:rPr>
          <w:rFonts w:hint="default" w:ascii="Times New Roman" w:hAnsi="Times New Roman" w:cs="Times New Roman"/>
          <w:color w:val="auto"/>
          <w:szCs w:val="32"/>
          <w:highlight w:val="none"/>
        </w:rPr>
        <w:t>》（政务学院〔2022〕26号）同时废止。本细则未做明确规定的事项按照学校规定</w:t>
      </w:r>
      <w:r>
        <w:rPr>
          <w:rFonts w:hint="default" w:ascii="Times New Roman" w:hAnsi="Times New Roman" w:cs="Times New Roman"/>
          <w:color w:val="auto"/>
          <w:highlight w:val="none"/>
        </w:rPr>
        <w:t>执行。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540" w:lineRule="exact"/>
        <w:jc w:val="both"/>
        <w:rPr>
          <w:rFonts w:ascii="Times New Roman" w:hAnsi="Times New Roman"/>
          <w:bCs/>
          <w:color w:val="000000"/>
          <w:kern w:val="0"/>
          <w:szCs w:val="32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left="0" w:leftChars="0" w:firstLine="0" w:firstLineChars="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ind w:firstLine="640"/>
        <w:rPr>
          <w:rFonts w:hint="eastAsia" w:ascii="Times New Roman" w:hAnsi="Times New Roman"/>
          <w:color w:val="000000"/>
          <w:highlight w:val="none"/>
        </w:rPr>
      </w:pPr>
    </w:p>
    <w:p>
      <w:pPr>
        <w:widowControl/>
        <w:pBdr>
          <w:top w:val="single" w:color="auto" w:sz="6" w:space="0"/>
          <w:bottom w:val="single" w:color="auto" w:sz="6" w:space="1"/>
        </w:pBdr>
        <w:spacing w:line="540" w:lineRule="exact"/>
        <w:ind w:right="-56" w:rightChars="-18" w:firstLine="0" w:firstLineChars="0"/>
        <w:jc w:val="left"/>
        <w:rPr>
          <w:rFonts w:ascii="Times New Roman" w:hAnsi="Times New Roman"/>
          <w:bCs/>
          <w:color w:val="000000"/>
          <w:kern w:val="0"/>
          <w:szCs w:val="32"/>
          <w:highlight w:val="none"/>
        </w:rPr>
      </w:pPr>
      <w:r>
        <w:rPr>
          <w:rFonts w:ascii="Times New Roman" w:hAnsi="Times New Roman"/>
          <w:color w:val="000000"/>
          <w:kern w:val="0"/>
          <w:sz w:val="28"/>
          <w:szCs w:val="28"/>
          <w:highlight w:val="none"/>
        </w:rPr>
        <w:t>中山大学政治与公共事务管理学院               20</w:t>
      </w:r>
      <w:r>
        <w:rPr>
          <w:rFonts w:hint="eastAsia" w:ascii="Times New Roman" w:hAnsi="Times New Roman"/>
          <w:color w:val="000000"/>
          <w:kern w:val="0"/>
          <w:sz w:val="28"/>
          <w:szCs w:val="28"/>
          <w:highlight w:val="none"/>
        </w:rPr>
        <w:t>2</w:t>
      </w:r>
      <w:r>
        <w:rPr>
          <w:rFonts w:hint="eastAsia" w:ascii="Times New Roman" w:hAnsi="Times New Roman"/>
          <w:color w:val="000000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ascii="Times New Roman" w:hAnsi="Times New Roman"/>
          <w:color w:val="000000"/>
          <w:kern w:val="0"/>
          <w:sz w:val="28"/>
          <w:szCs w:val="28"/>
          <w:highlight w:val="none"/>
        </w:rPr>
        <w:t>年</w:t>
      </w:r>
      <w:r>
        <w:rPr>
          <w:rFonts w:hint="eastAsia"/>
          <w:color w:val="000000"/>
          <w:kern w:val="0"/>
          <w:sz w:val="28"/>
          <w:szCs w:val="28"/>
          <w:highlight w:val="none"/>
          <w:lang w:val="en-US" w:eastAsia="zh-CN"/>
        </w:rPr>
        <w:t>12</w:t>
      </w:r>
      <w:r>
        <w:rPr>
          <w:rFonts w:ascii="Times New Roman" w:hAnsi="Times New Roman"/>
          <w:color w:val="000000"/>
          <w:kern w:val="0"/>
          <w:sz w:val="28"/>
          <w:szCs w:val="28"/>
          <w:highlight w:val="none"/>
        </w:rPr>
        <w:t>月</w:t>
      </w:r>
      <w:r>
        <w:rPr>
          <w:rFonts w:hint="eastAsia"/>
          <w:color w:val="000000"/>
          <w:kern w:val="0"/>
          <w:sz w:val="28"/>
          <w:szCs w:val="28"/>
          <w:highlight w:val="none"/>
          <w:lang w:val="en-US" w:eastAsia="zh-CN"/>
        </w:rPr>
        <w:t>12</w:t>
      </w:r>
      <w:r>
        <w:rPr>
          <w:rFonts w:ascii="Times New Roman" w:hAnsi="Times New Roman"/>
          <w:color w:val="000000"/>
          <w:kern w:val="0"/>
          <w:sz w:val="28"/>
          <w:szCs w:val="28"/>
          <w:highlight w:val="none"/>
        </w:rPr>
        <w:t>日印发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0F1AEF-A7B9-4D5E-A05B-F70837C791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F4D0DF-0FB8-44CD-8F03-DEAE34090D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3A26A0F-F3FE-45F9-8EC2-3B9C4F24756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98C6A01-03A2-4D67-9347-22F7606363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8A862BF-86D4-4AF6-8380-C9C53A2C42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BC872EA-896A-40D0-BA15-3C1114D896F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B70EDA8-9DB6-44D3-B3D5-7B048960F43C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C1E311A9-D964-4CDC-987F-5D831A21160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7612A06-50F6-454C-98B6-AD1EC2C316D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7"/>
          <w:wordWrap w:val="0"/>
          <w:spacing w:line="240" w:lineRule="auto"/>
          <w:ind w:right="320" w:rightChars="10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7"/>
          <w:spacing w:line="240" w:lineRule="auto"/>
          <w:ind w:left="320" w:leftChars="10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1A6916"/>
    <w:multiLevelType w:val="singleLevel"/>
    <w:tmpl w:val="691A691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bordersDoNotSurroundHeader w:val="1"/>
  <w:bordersDoNotSurroundFooter w:val="1"/>
  <w:attachedTemplate r:id="rId1"/>
  <w:trackRevisions w:val="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5MGQ3MTc4N2NiYTlmMmUyMGM3MzY0OTc4OWI1MzAifQ=="/>
  </w:docVars>
  <w:rsids>
    <w:rsidRoot w:val="00365D4E"/>
    <w:rsid w:val="00030B15"/>
    <w:rsid w:val="0008379E"/>
    <w:rsid w:val="000D6A64"/>
    <w:rsid w:val="000E3BC9"/>
    <w:rsid w:val="000E47AC"/>
    <w:rsid w:val="00111158"/>
    <w:rsid w:val="00137BA5"/>
    <w:rsid w:val="00180691"/>
    <w:rsid w:val="00192A77"/>
    <w:rsid w:val="001A15AC"/>
    <w:rsid w:val="001A4D7B"/>
    <w:rsid w:val="001B2074"/>
    <w:rsid w:val="001C4193"/>
    <w:rsid w:val="001C6C10"/>
    <w:rsid w:val="00216360"/>
    <w:rsid w:val="00221B66"/>
    <w:rsid w:val="00251D5E"/>
    <w:rsid w:val="00255631"/>
    <w:rsid w:val="00262190"/>
    <w:rsid w:val="00262F8B"/>
    <w:rsid w:val="002646BE"/>
    <w:rsid w:val="00265CBA"/>
    <w:rsid w:val="002A0721"/>
    <w:rsid w:val="002D2105"/>
    <w:rsid w:val="002E2A09"/>
    <w:rsid w:val="002F0783"/>
    <w:rsid w:val="002F552C"/>
    <w:rsid w:val="0030202D"/>
    <w:rsid w:val="00310A7F"/>
    <w:rsid w:val="00346618"/>
    <w:rsid w:val="00347D0E"/>
    <w:rsid w:val="003539FC"/>
    <w:rsid w:val="00365D4E"/>
    <w:rsid w:val="00387133"/>
    <w:rsid w:val="003A3701"/>
    <w:rsid w:val="003C4BE5"/>
    <w:rsid w:val="003D2FE4"/>
    <w:rsid w:val="00445496"/>
    <w:rsid w:val="004547EE"/>
    <w:rsid w:val="00455838"/>
    <w:rsid w:val="00465033"/>
    <w:rsid w:val="00470269"/>
    <w:rsid w:val="0048176F"/>
    <w:rsid w:val="004C5FBC"/>
    <w:rsid w:val="005354A8"/>
    <w:rsid w:val="005A02CB"/>
    <w:rsid w:val="005E4F6A"/>
    <w:rsid w:val="00633F67"/>
    <w:rsid w:val="00661207"/>
    <w:rsid w:val="00680E17"/>
    <w:rsid w:val="00721AAC"/>
    <w:rsid w:val="00745D45"/>
    <w:rsid w:val="00767372"/>
    <w:rsid w:val="007C31B7"/>
    <w:rsid w:val="007D2BC8"/>
    <w:rsid w:val="007D3A09"/>
    <w:rsid w:val="007F1A60"/>
    <w:rsid w:val="00804651"/>
    <w:rsid w:val="00812A08"/>
    <w:rsid w:val="008449D2"/>
    <w:rsid w:val="0085406F"/>
    <w:rsid w:val="00855E17"/>
    <w:rsid w:val="0086691F"/>
    <w:rsid w:val="00885C5E"/>
    <w:rsid w:val="00886BF3"/>
    <w:rsid w:val="008A57A9"/>
    <w:rsid w:val="008A7B50"/>
    <w:rsid w:val="008F44B5"/>
    <w:rsid w:val="00900508"/>
    <w:rsid w:val="009007FF"/>
    <w:rsid w:val="009106E6"/>
    <w:rsid w:val="00975C07"/>
    <w:rsid w:val="009946E2"/>
    <w:rsid w:val="00A14F7B"/>
    <w:rsid w:val="00A16CBF"/>
    <w:rsid w:val="00A25DC7"/>
    <w:rsid w:val="00A64785"/>
    <w:rsid w:val="00A7011F"/>
    <w:rsid w:val="00A72919"/>
    <w:rsid w:val="00A915EA"/>
    <w:rsid w:val="00AB7102"/>
    <w:rsid w:val="00AC1636"/>
    <w:rsid w:val="00AF2D96"/>
    <w:rsid w:val="00B450EC"/>
    <w:rsid w:val="00B647F4"/>
    <w:rsid w:val="00BD640E"/>
    <w:rsid w:val="00BF7B90"/>
    <w:rsid w:val="00C143EB"/>
    <w:rsid w:val="00C30E21"/>
    <w:rsid w:val="00C7791E"/>
    <w:rsid w:val="00CC443F"/>
    <w:rsid w:val="00D12D05"/>
    <w:rsid w:val="00D27289"/>
    <w:rsid w:val="00D65E9F"/>
    <w:rsid w:val="00D667C6"/>
    <w:rsid w:val="00D9127E"/>
    <w:rsid w:val="00DD0D46"/>
    <w:rsid w:val="00DD29A6"/>
    <w:rsid w:val="00DE1946"/>
    <w:rsid w:val="00DF07D8"/>
    <w:rsid w:val="00E04624"/>
    <w:rsid w:val="00E24535"/>
    <w:rsid w:val="00E34E53"/>
    <w:rsid w:val="00E47A39"/>
    <w:rsid w:val="00E546B9"/>
    <w:rsid w:val="00E55AF7"/>
    <w:rsid w:val="00E81587"/>
    <w:rsid w:val="00E85A0E"/>
    <w:rsid w:val="00EB5188"/>
    <w:rsid w:val="00EC675B"/>
    <w:rsid w:val="00EF0F70"/>
    <w:rsid w:val="00F07C6F"/>
    <w:rsid w:val="00F10BD3"/>
    <w:rsid w:val="00F125E1"/>
    <w:rsid w:val="00F27225"/>
    <w:rsid w:val="00F34512"/>
    <w:rsid w:val="00F52ABD"/>
    <w:rsid w:val="00F60D73"/>
    <w:rsid w:val="00FD561B"/>
    <w:rsid w:val="00FF1E97"/>
    <w:rsid w:val="026710A5"/>
    <w:rsid w:val="04C16F84"/>
    <w:rsid w:val="0C0C4971"/>
    <w:rsid w:val="111D5E14"/>
    <w:rsid w:val="12E60488"/>
    <w:rsid w:val="159D2F3D"/>
    <w:rsid w:val="18AF7566"/>
    <w:rsid w:val="1F9A72CF"/>
    <w:rsid w:val="24C90617"/>
    <w:rsid w:val="388679EC"/>
    <w:rsid w:val="3E681997"/>
    <w:rsid w:val="440552BE"/>
    <w:rsid w:val="515D3335"/>
    <w:rsid w:val="534B27C1"/>
    <w:rsid w:val="53BB0AB4"/>
    <w:rsid w:val="55FA163D"/>
    <w:rsid w:val="56D164AB"/>
    <w:rsid w:val="56D66E0C"/>
    <w:rsid w:val="5B85605C"/>
    <w:rsid w:val="5CE73059"/>
    <w:rsid w:val="648E5238"/>
    <w:rsid w:val="64AE5C39"/>
    <w:rsid w:val="6863132E"/>
    <w:rsid w:val="752E4424"/>
    <w:rsid w:val="7819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50" w:beforeLines="50" w:after="50" w:afterLines="50" w:line="560" w:lineRule="exact"/>
      <w:ind w:firstLine="0" w:firstLineChars="0"/>
      <w:jc w:val="center"/>
      <w:outlineLvl w:val="0"/>
    </w:pPr>
    <w:rPr>
      <w:rFonts w:eastAsia="黑体"/>
      <w:kern w:val="44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Body Text"/>
    <w:basedOn w:val="1"/>
    <w:link w:val="16"/>
    <w:autoRedefine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5">
    <w:name w:val="Body Text Indent"/>
    <w:basedOn w:val="1"/>
    <w:link w:val="15"/>
    <w:autoRedefine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6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8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line number"/>
    <w:basedOn w:val="11"/>
    <w:autoRedefine/>
    <w:semiHidden/>
    <w:unhideWhenUsed/>
    <w:qFormat/>
    <w:uiPriority w:val="99"/>
  </w:style>
  <w:style w:type="character" w:customStyle="1" w:styleId="13">
    <w:name w:val="页眉 字符"/>
    <w:basedOn w:val="11"/>
    <w:link w:val="8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5">
    <w:name w:val="正文文本缩进 字符"/>
    <w:basedOn w:val="11"/>
    <w:link w:val="5"/>
    <w:autoRedefine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6">
    <w:name w:val="正文文本 字符"/>
    <w:basedOn w:val="11"/>
    <w:link w:val="4"/>
    <w:autoRedefine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7">
    <w:name w:val="批注框文本 字符"/>
    <w:basedOn w:val="11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-&#26032;\&#20013;&#23665;&#22823;&#23398;&#26657;&#38271;&#21150;&#20844;&#23460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1D96A4-023F-4973-9DD9-2FAF02E237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中山大学校长办公室模板</Template>
  <Company>SYSU</Company>
  <Pages>2</Pages>
  <Words>284</Words>
  <Characters>330</Characters>
  <Lines>8</Lines>
  <Paragraphs>2</Paragraphs>
  <TotalTime>1</TotalTime>
  <ScaleCrop>false</ScaleCrop>
  <LinksUpToDate>false</LinksUpToDate>
  <CharactersWithSpaces>344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2016-12-30T02:07:00Z</dcterms:created>
  <dc:creator>Lenovo</dc:creator>
  <cp:lastModifiedBy>方塘</cp:lastModifiedBy>
  <cp:lastPrinted>2016-11-04T01:31:00Z</cp:lastPrinted>
  <dcterms:modified xsi:type="dcterms:W3CDTF">2023-12-13T01:43:41Z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8883DF87A1344DB99FCF086663ADBC94_13</vt:lpwstr>
  </property>
  <property fmtid="{D5CDD505-2E9C-101B-9397-08002B2CF9AE}" pid="3" name="KSOProductBuildVer">
    <vt:lpwstr>2052-12.1.0.16120</vt:lpwstr>
  </property>
</Properties>
</file>